
<file path=[Content_Types].xml><?xml version="1.0" encoding="utf-8"?>
<Types xmlns="http://schemas.openxmlformats.org/package/2006/content-types"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</w:p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Краевой диагностической  работы по алгебре, проведенной 24.10 .18 года  для учащихся 8 класса МБОУ ООШ 15.</w:t>
      </w:r>
    </w:p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Контрольную работу писали 28(из 31) ученика, что составляет  90% учащихся класса.  В таблице приведены итоги контрольной работы.</w:t>
      </w:r>
    </w:p>
    <w:tbl>
      <w:tblPr>
        <w:tblStyle w:val="1"/>
        <w:tblW w:w="0" w:type="auto"/>
        <w:tblInd w:w="594" w:type="dxa"/>
        <w:tblLook w:val="04A0"/>
      </w:tblPr>
      <w:tblGrid>
        <w:gridCol w:w="947"/>
        <w:gridCol w:w="1591"/>
        <w:gridCol w:w="1591"/>
        <w:gridCol w:w="1740"/>
        <w:gridCol w:w="1301"/>
        <w:gridCol w:w="1807"/>
      </w:tblGrid>
      <w:tr w:rsidR="008C55C1" w:rsidTr="008C55C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«4» и «5»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обученности</w:t>
            </w:r>
            <w:proofErr w:type="spellEnd"/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качество знаний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учащихся, писавших работу</w:t>
            </w:r>
          </w:p>
        </w:tc>
      </w:tr>
      <w:tr w:rsidR="008C55C1" w:rsidTr="008C55C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86%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15%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</w:tbl>
    <w:p w:rsidR="008C55C1" w:rsidRDefault="008C55C1" w:rsidP="008C55C1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77510" cy="2091055"/>
            <wp:effectExtent l="0" t="0" r="889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Количество учащихся, правильно выполнившие задания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.</w:t>
      </w:r>
      <w:proofErr w:type="gramEnd"/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8C55C1" w:rsidP="008C55C1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-839470</wp:posOffset>
            </wp:positionH>
            <wp:positionV relativeFrom="paragraph">
              <wp:posOffset>379095</wp:posOffset>
            </wp:positionV>
            <wp:extent cx="7132320" cy="3858895"/>
            <wp:effectExtent l="0" t="0" r="11430" b="27305"/>
            <wp:wrapSquare wrapText="bothSides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br w:type="textWrapping" w:clear="all"/>
        <w:t>Средний балл по классу – 3,1 (из 9) - удовлетворительный.</w:t>
      </w:r>
    </w:p>
    <w:p w:rsidR="008C55C1" w:rsidRDefault="008C55C1" w:rsidP="008C55C1">
      <w:pPr>
        <w:tabs>
          <w:tab w:val="left" w:pos="123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Цель проведения работы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роверить знания учащихся по  алгебре в 8 классе</w:t>
      </w:r>
    </w:p>
    <w:p w:rsidR="008C55C1" w:rsidRDefault="008C55C1" w:rsidP="008C55C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5C1" w:rsidRDefault="008C55C1" w:rsidP="008C55C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Выполнение учащимися заданий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баллах)</w:t>
      </w:r>
    </w:p>
    <w:p w:rsidR="008C55C1" w:rsidRDefault="00BE2BF5" w:rsidP="008C55C1">
      <w:pPr>
        <w:keepNext/>
        <w:tabs>
          <w:tab w:val="left" w:pos="2880"/>
        </w:tabs>
        <w:rPr>
          <w:rFonts w:eastAsia="Times New Roman"/>
          <w:lang w:eastAsia="ru-RU"/>
        </w:rPr>
      </w:pPr>
      <w:r w:rsidRPr="00BE2BF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37.95pt;margin-top:212.75pt;width:430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" strokecolor="red" strokeweight="2.25pt">
            <v:stroke dashstyle="dash"/>
          </v:shape>
        </w:pict>
      </w:r>
      <w:r w:rsidR="008C55C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C55C1">
        <w:rPr>
          <w:noProof/>
          <w:lang w:eastAsia="ru-RU"/>
        </w:rPr>
        <w:drawing>
          <wp:inline distT="0" distB="0" distL="0" distR="0">
            <wp:extent cx="5960534" cy="3747911"/>
            <wp:effectExtent l="19050" t="0" r="21166" b="4939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C55C1" w:rsidRDefault="00BE2BF5" w:rsidP="008C55C1">
      <w:pPr>
        <w:tabs>
          <w:tab w:val="left" w:pos="38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BE2BF5">
        <w:rPr>
          <w:noProof/>
          <w:lang w:eastAsia="ru-RU"/>
        </w:rPr>
        <w:pict>
          <v:shape id="AutoShape 3" o:spid="_x0000_s1027" type="#_x0000_t32" style="position:absolute;margin-left:12.2pt;margin-top:8.45pt;width:171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riNwIAAGI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" strokecolor="red" strokeweight="2.25pt">
            <v:stroke dashstyle="dash"/>
          </v:shape>
        </w:pict>
      </w:r>
      <w:r w:rsidR="008C55C1">
        <w:rPr>
          <w:rFonts w:ascii="Times New Roman" w:eastAsia="Times New Roman" w:hAnsi="Times New Roman"/>
          <w:sz w:val="28"/>
          <w:szCs w:val="28"/>
          <w:lang w:eastAsia="ru-RU"/>
        </w:rPr>
        <w:tab/>
        <w:t>средний балл по классу 3,1</w:t>
      </w: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8C55C1" w:rsidP="008C55C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Процент выполнения учащимися заданий  по темам</w:t>
      </w:r>
    </w:p>
    <w:p w:rsidR="008C55C1" w:rsidRDefault="008C55C1" w:rsidP="008C55C1">
      <w:pPr>
        <w:tabs>
          <w:tab w:val="left" w:pos="38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1"/>
        <w:tblpPr w:leftFromText="180" w:rightFromText="180" w:vertAnchor="text" w:horzAnchor="margin" w:tblpXSpec="center" w:tblpY="949"/>
        <w:tblW w:w="8616" w:type="dxa"/>
        <w:tblLayout w:type="fixed"/>
        <w:tblLook w:val="04A0"/>
      </w:tblPr>
      <w:tblGrid>
        <w:gridCol w:w="709"/>
        <w:gridCol w:w="3370"/>
        <w:gridCol w:w="1560"/>
        <w:gridCol w:w="2977"/>
      </w:tblGrid>
      <w:tr w:rsidR="008C55C1" w:rsidTr="008C55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3F4FB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Замечания</w:t>
            </w:r>
            <w:r w:rsidR="008C55C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заданиям</w:t>
            </w:r>
          </w:p>
        </w:tc>
      </w:tr>
      <w:tr w:rsidR="008C55C1" w:rsidTr="008C55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Действия с десятичными и обыкновенными дробями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на хорошем уровне. Важно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поддерживать этот уровень у сильных учащихся и продолжать подготовку слабых учащихся</w:t>
            </w:r>
          </w:p>
        </w:tc>
      </w:tr>
      <w:tr w:rsidR="008C55C1" w:rsidTr="008C55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Действия с алгебраическими дробями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Данный элемент содержания усвоен на крайне низком уровне. Требуется серьёзная коррекция.</w:t>
            </w:r>
          </w:p>
        </w:tc>
      </w:tr>
      <w:tr w:rsidR="008C55C1" w:rsidTr="008C55C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табличных данных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на высоком уровне. Важно зафиксировать данный уровень. Обратить внимание на причины 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обеспечившие высокий результат.</w:t>
            </w:r>
          </w:p>
        </w:tc>
      </w:tr>
      <w:tr w:rsidR="008C55C1" w:rsidTr="008C55C1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График реальной зависимости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Данный элемент содержания усвоен на высоком уровне. Важно зафиксировать данный уровень. Обратить внимание на причины 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обеспечившие высокий результат.</w:t>
            </w:r>
          </w:p>
        </w:tc>
      </w:tr>
      <w:tr w:rsidR="008C55C1" w:rsidTr="008C55C1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Линейное уравнение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 хорошем уровне. Важно поддерживать этот уровень у сильных учащихся и продолжать подготовку слабых учащихся</w:t>
            </w:r>
          </w:p>
        </w:tc>
      </w:tr>
      <w:tr w:rsidR="008C55C1" w:rsidTr="008C55C1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степеней с натуральным показателем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Данный элемент содержания усвоен на хорошем уровне. Важно поддерживать этот уровень у сильных учащихся и продолжать подготовку слабых учащихся</w:t>
            </w:r>
          </w:p>
        </w:tc>
      </w:tr>
      <w:tr w:rsidR="008C55C1" w:rsidTr="008C55C1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Умение выразить одну величину через другие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Данный элемент содержания усвоен на низком уровне. Требуется коррекция.</w:t>
            </w:r>
          </w:p>
        </w:tc>
      </w:tr>
      <w:tr w:rsidR="008C55C1" w:rsidTr="008C55C1">
        <w:trPr>
          <w:trHeight w:val="136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C1" w:rsidRDefault="008C55C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Текстовая задача (проценты)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9%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55C1" w:rsidRDefault="008C55C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Данный элемент содержания усвоен на крайне низком уровне. Требуется серьёзная коррекция.</w:t>
            </w:r>
          </w:p>
        </w:tc>
      </w:tr>
    </w:tbl>
    <w:p w:rsidR="008C55C1" w:rsidRDefault="008C55C1" w:rsidP="008C55C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Методы контроля: письменная проверка знаний.</w:t>
      </w:r>
    </w:p>
    <w:p w:rsidR="008C55C1" w:rsidRDefault="008C55C1" w:rsidP="008C55C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Специфика работы: контрольная работа из 4 вариантов, в каждой из которых 8 заданий.</w:t>
      </w: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Выполнили на «5»:  2уч. (7%)                             Успеваемость: 86 %</w:t>
      </w:r>
    </w:p>
    <w:p w:rsidR="008C55C1" w:rsidRDefault="008C55C1" w:rsidP="008C55C1">
      <w:pPr>
        <w:tabs>
          <w:tab w:val="center" w:pos="510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«4»:  2 уч. 7%)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Качество: 15 %</w:t>
      </w:r>
      <w:proofErr w:type="gramEnd"/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«3»:  20уч. (72%)</w:t>
      </w: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«2»:  4уч. (14%)</w:t>
      </w: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5C1" w:rsidRDefault="008C55C1" w:rsidP="008C55C1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55C1" w:rsidRDefault="008C55C1" w:rsidP="008C55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5C1" w:rsidRDefault="008C55C1" w:rsidP="008C55C1">
      <w:pPr>
        <w:rPr>
          <w:rFonts w:eastAsia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24.10.18г.                                                          Учитель: Халина Н.П.</w:t>
      </w:r>
    </w:p>
    <w:p w:rsidR="008C55C1" w:rsidRDefault="008C55C1" w:rsidP="008C55C1"/>
    <w:p w:rsidR="008C55C1" w:rsidRDefault="008C55C1" w:rsidP="008C55C1"/>
    <w:p w:rsidR="008C55C1" w:rsidRDefault="008C55C1" w:rsidP="008C55C1"/>
    <w:p w:rsidR="008C55C1" w:rsidRDefault="008C55C1" w:rsidP="008C55C1"/>
    <w:p w:rsidR="008C55C1" w:rsidRDefault="008C55C1" w:rsidP="008C55C1"/>
    <w:p w:rsidR="008C55C1" w:rsidRDefault="008C55C1" w:rsidP="008C55C1"/>
    <w:p w:rsidR="008C55C1" w:rsidRDefault="008C55C1" w:rsidP="008C55C1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5C1" w:rsidRDefault="008C55C1" w:rsidP="008C55C1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A7" w:rsidRDefault="00944EA7"/>
    <w:sectPr w:rsidR="00944EA7" w:rsidSect="00BE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1425"/>
    <w:rsid w:val="003E1949"/>
    <w:rsid w:val="003F4FBB"/>
    <w:rsid w:val="008C55C1"/>
    <w:rsid w:val="00944EA7"/>
    <w:rsid w:val="00BE1425"/>
    <w:rsid w:val="00BE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55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C55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C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Office_Excel3.xlsx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hPercent val="36"/>
      <c:depthPercent val="100"/>
      <c:rAngAx val="1"/>
    </c:view3D>
    <c:floor>
      <c:spPr>
        <a:solidFill>
          <a:schemeClr val="accent6">
            <a:lumMod val="60000"/>
            <a:lumOff val="40000"/>
          </a:schemeClr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chemeClr val="accent6">
            <a:lumMod val="60000"/>
            <a:lumOff val="40000"/>
          </a:schemeClr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61061946902655E-2"/>
          <c:y val="4.5454545454545484E-2"/>
          <c:w val="0.8283185840707965"/>
          <c:h val="0.7777777777777799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"2"</c:v>
                </c:pt>
              </c:strCache>
            </c:strRef>
          </c:tx>
          <c:spPr>
            <a:solidFill>
              <a:srgbClr val="00B0F0"/>
            </a:solidFill>
            <a:ln w="25400" cap="flat" cmpd="sng" algn="ctr">
              <a:solidFill>
                <a:schemeClr val="accent3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Sheet1!$B$2:$B$2</c:f>
              <c:numCache>
                <c:formatCode>0%</c:formatCode>
                <c:ptCount val="1"/>
                <c:pt idx="0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"3"</c:v>
                </c:pt>
              </c:strCache>
            </c:strRef>
          </c:tx>
          <c:spPr>
            <a:solidFill>
              <a:srgbClr val="00B050"/>
            </a:solidFill>
            <a:ln w="25400" cap="flat" cmpd="sng" algn="ctr">
              <a:solidFill>
                <a:schemeClr val="accent2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Sheet1!$B$3:$B$3</c:f>
              <c:numCache>
                <c:formatCode>0%</c:formatCode>
                <c:ptCount val="1"/>
                <c:pt idx="0">
                  <c:v>0.7200000000000002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"4" </c:v>
                </c:pt>
              </c:strCache>
            </c:strRef>
          </c:tx>
          <c:spPr>
            <a:solidFill>
              <a:srgbClr val="FFC000"/>
            </a:solidFill>
            <a:ln w="25400" cap="flat" cmpd="sng" algn="ctr">
              <a:solidFill>
                <a:schemeClr val="accent5">
                  <a:shade val="50000"/>
                </a:schemeClr>
              </a:solidFill>
              <a:prstDash val="solid"/>
            </a:ln>
            <a:effectLst/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Sheet1!$B$4:$B$4</c:f>
              <c:numCache>
                <c:formatCode>0%</c:formatCode>
                <c:ptCount val="1"/>
                <c:pt idx="0">
                  <c:v>7.0000000000000021E-2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"5"</c:v>
                </c:pt>
              </c:strCache>
            </c:strRef>
          </c:tx>
          <c:spPr>
            <a:solidFill>
              <a:srgbClr val="FF0000"/>
            </a:solidFill>
            <a:ln w="9515">
              <a:solidFill>
                <a:srgbClr val="000000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Sheet1!$B$5:$B$5</c:f>
              <c:numCache>
                <c:formatCode>0%</c:formatCode>
                <c:ptCount val="1"/>
                <c:pt idx="0">
                  <c:v>7.0000000000000021E-2</c:v>
                </c:pt>
              </c:numCache>
            </c:numRef>
          </c:val>
        </c:ser>
        <c:dLbls>
          <c:showVal val="1"/>
        </c:dLbls>
        <c:gapDepth val="0"/>
        <c:shape val="box"/>
        <c:axId val="81361152"/>
        <c:axId val="82048128"/>
        <c:axId val="0"/>
      </c:bar3DChart>
      <c:catAx>
        <c:axId val="81361152"/>
        <c:scaling>
          <c:orientation val="minMax"/>
        </c:scaling>
        <c:axPos val="b"/>
        <c:numFmt formatCode="General" sourceLinked="1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048128"/>
        <c:crosses val="autoZero"/>
        <c:auto val="1"/>
        <c:lblAlgn val="ctr"/>
        <c:lblOffset val="100"/>
        <c:tickLblSkip val="1"/>
        <c:tickMarkSkip val="1"/>
      </c:catAx>
      <c:valAx>
        <c:axId val="82048128"/>
        <c:scaling>
          <c:orientation val="minMax"/>
        </c:scaling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1361152"/>
        <c:crosses val="autoZero"/>
        <c:crossBetween val="between"/>
      </c:valAx>
      <c:spPr>
        <a:noFill/>
        <a:ln w="19031">
          <a:noFill/>
        </a:ln>
      </c:spPr>
    </c:plotArea>
    <c:legend>
      <c:legendPos val="r"/>
      <c:layout>
        <c:manualLayout>
          <c:xMode val="edge"/>
          <c:yMode val="edge"/>
          <c:x val="0.92389380530973464"/>
          <c:y val="0.11849283262669129"/>
          <c:w val="6.9026548672566371E-2"/>
          <c:h val="0.75524480113062864"/>
        </c:manualLayout>
      </c:layout>
      <c:spPr>
        <a:noFill/>
        <a:ln w="2379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5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9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307560513269193E-2"/>
          <c:y val="5.1994125734283213E-2"/>
          <c:w val="0.94069243948673165"/>
          <c:h val="0.74290307461568184"/>
        </c:manualLayout>
      </c:layout>
      <c:barChart>
        <c:barDir val="col"/>
        <c:grouping val="stacked"/>
        <c:ser>
          <c:idx val="0"/>
          <c:order val="0"/>
          <c:tx>
            <c:strRef>
              <c:f>Лист1!$B$3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accent5">
                  <a:lumMod val="75000"/>
                </a:schemeClr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dLblPos val="inEnd"/>
            <c:showVal val="1"/>
          </c:dLbls>
          <c:cat>
            <c:numRef>
              <c:f>Лист1!$A$5:$A$17</c:f>
              <c:numCache>
                <c:formatCode>General</c:formatCode>
                <c:ptCount val="13"/>
                <c:pt idx="1">
                  <c:v>2</c:v>
                </c:pt>
                <c:pt idx="3">
                  <c:v>3</c:v>
                </c:pt>
                <c:pt idx="5">
                  <c:v>4</c:v>
                </c:pt>
                <c:pt idx="7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</c:numCache>
            </c:numRef>
          </c:cat>
          <c:val>
            <c:numRef>
              <c:f>Лист1!$B$4:$B$16</c:f>
              <c:numCache>
                <c:formatCode>General</c:formatCode>
                <c:ptCount val="13"/>
                <c:pt idx="0">
                  <c:v>22</c:v>
                </c:pt>
                <c:pt idx="2">
                  <c:v>24</c:v>
                </c:pt>
                <c:pt idx="4">
                  <c:v>26</c:v>
                </c:pt>
                <c:pt idx="6">
                  <c:v>25</c:v>
                </c:pt>
                <c:pt idx="8">
                  <c:v>24</c:v>
                </c:pt>
                <c:pt idx="10">
                  <c:v>21</c:v>
                </c:pt>
                <c:pt idx="11">
                  <c:v>11</c:v>
                </c:pt>
                <c:pt idx="12">
                  <c:v>3</c:v>
                </c:pt>
              </c:numCache>
            </c:numRef>
          </c:val>
        </c:ser>
        <c:gapWidth val="0"/>
        <c:overlap val="100"/>
        <c:axId val="83984768"/>
        <c:axId val="90330624"/>
      </c:barChart>
      <c:catAx>
        <c:axId val="83984768"/>
        <c:scaling>
          <c:orientation val="minMax"/>
        </c:scaling>
        <c:delete val="1"/>
        <c:axPos val="b"/>
        <c:majorGridlines>
          <c:spPr>
            <a:ln w="25400" cap="flat" cmpd="sng" algn="ctr">
              <a:solidFill>
                <a:srgbClr val="D5E13F"/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</c:majorGridlines>
        <c:minorGridlines>
          <c:spPr>
            <a:ln w="9525" cap="flat" cmpd="sng" algn="ctr">
              <a:solidFill>
                <a:srgbClr val="D5E13F"/>
              </a:solidFill>
              <a:prstDash val="solid"/>
            </a:ln>
            <a:effectLst/>
          </c:spPr>
        </c:minorGridlines>
        <c:numFmt formatCode="General" sourceLinked="1"/>
        <c:majorTickMark val="none"/>
        <c:tickLblPos val="nextTo"/>
        <c:crossAx val="90330624"/>
        <c:crosses val="autoZero"/>
        <c:auto val="1"/>
        <c:lblAlgn val="ctr"/>
        <c:lblOffset val="100"/>
        <c:tickMarkSkip val="2"/>
      </c:catAx>
      <c:valAx>
        <c:axId val="90330624"/>
        <c:scaling>
          <c:orientation val="minMax"/>
        </c:scaling>
        <c:axPos val="l"/>
        <c:minorGridlines>
          <c:spPr>
            <a:ln>
              <a:solidFill>
                <a:srgbClr val="D60093"/>
              </a:solidFill>
            </a:ln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3984768"/>
        <c:crosses val="autoZero"/>
        <c:crossBetween val="between"/>
      </c:valAx>
      <c:spPr>
        <a:solidFill>
          <a:srgbClr val="D5E13F"/>
        </a:solidFill>
        <a:ln w="9525" cap="flat" cmpd="sng" algn="ctr">
          <a:solidFill>
            <a:srgbClr val="D5E13F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</c:chart>
  <c:spPr>
    <a:ln>
      <a:solidFill>
        <a:schemeClr val="accent3">
          <a:lumMod val="60000"/>
          <a:lumOff val="40000"/>
        </a:schemeClr>
      </a:solidFill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Лист1!$A$2:$A$27</c:f>
              <c:strCache>
                <c:ptCount val="26"/>
                <c:pt idx="0">
                  <c:v>АлиевА</c:v>
                </c:pt>
                <c:pt idx="1">
                  <c:v>АлиевАлиш.</c:v>
                </c:pt>
                <c:pt idx="2">
                  <c:v>БеспаловаВ</c:v>
                </c:pt>
                <c:pt idx="3">
                  <c:v>ЧернышковаВ</c:v>
                </c:pt>
                <c:pt idx="4">
                  <c:v>Снахов А.</c:v>
                </c:pt>
                <c:pt idx="5">
                  <c:v>ГусароваА</c:v>
                </c:pt>
                <c:pt idx="6">
                  <c:v>ЕдуновА</c:v>
                </c:pt>
                <c:pt idx="7">
                  <c:v>ЕрмаковаЛ</c:v>
                </c:pt>
                <c:pt idx="8">
                  <c:v>ЕфремоваВ</c:v>
                </c:pt>
                <c:pt idx="9">
                  <c:v>ПронькинВ</c:v>
                </c:pt>
                <c:pt idx="10">
                  <c:v>Камчатный</c:v>
                </c:pt>
                <c:pt idx="11">
                  <c:v>КравцоваВ</c:v>
                </c:pt>
                <c:pt idx="12">
                  <c:v>Колесников</c:v>
                </c:pt>
                <c:pt idx="13">
                  <c:v>Кочеткова К</c:v>
                </c:pt>
                <c:pt idx="14">
                  <c:v>МирзаевМ</c:v>
                </c:pt>
                <c:pt idx="15">
                  <c:v>МихайловИ</c:v>
                </c:pt>
                <c:pt idx="16">
                  <c:v>ПермиковС</c:v>
                </c:pt>
                <c:pt idx="17">
                  <c:v>НоздрачёвО</c:v>
                </c:pt>
                <c:pt idx="18">
                  <c:v>ПапикянА</c:v>
                </c:pt>
                <c:pt idx="19">
                  <c:v>ПапоянА</c:v>
                </c:pt>
                <c:pt idx="20">
                  <c:v>Парцикян А</c:v>
                </c:pt>
                <c:pt idx="21">
                  <c:v>Ащеулов Д</c:v>
                </c:pt>
                <c:pt idx="22">
                  <c:v>СаргсянД</c:v>
                </c:pt>
                <c:pt idx="23">
                  <c:v>СторожнкоВ</c:v>
                </c:pt>
                <c:pt idx="24">
                  <c:v>БлажноваА</c:v>
                </c:pt>
                <c:pt idx="25">
                  <c:v>ШахбазоваМ</c:v>
                </c:pt>
              </c:strCache>
            </c:str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5</c:v>
                </c:pt>
                <c:pt idx="1">
                  <c:v>5</c:v>
                </c:pt>
                <c:pt idx="2">
                  <c:v>9</c:v>
                </c:pt>
                <c:pt idx="3">
                  <c:v>5</c:v>
                </c:pt>
                <c:pt idx="4">
                  <c:v>6</c:v>
                </c:pt>
                <c:pt idx="5">
                  <c:v>9</c:v>
                </c:pt>
                <c:pt idx="6">
                  <c:v>7</c:v>
                </c:pt>
                <c:pt idx="7">
                  <c:v>8</c:v>
                </c:pt>
                <c:pt idx="8">
                  <c:v>4</c:v>
                </c:pt>
                <c:pt idx="9">
                  <c:v>5</c:v>
                </c:pt>
                <c:pt idx="10">
                  <c:v>5</c:v>
                </c:pt>
                <c:pt idx="11">
                  <c:v>1</c:v>
                </c:pt>
                <c:pt idx="12">
                  <c:v>3</c:v>
                </c:pt>
                <c:pt idx="13">
                  <c:v>4</c:v>
                </c:pt>
                <c:pt idx="14">
                  <c:v>3</c:v>
                </c:pt>
                <c:pt idx="15">
                  <c:v>5</c:v>
                </c:pt>
                <c:pt idx="16">
                  <c:v>5</c:v>
                </c:pt>
                <c:pt idx="17">
                  <c:v>5</c:v>
                </c:pt>
                <c:pt idx="18">
                  <c:v>5</c:v>
                </c:pt>
                <c:pt idx="19">
                  <c:v>6</c:v>
                </c:pt>
                <c:pt idx="20">
                  <c:v>6</c:v>
                </c:pt>
                <c:pt idx="21">
                  <c:v>5</c:v>
                </c:pt>
                <c:pt idx="22">
                  <c:v>6</c:v>
                </c:pt>
                <c:pt idx="23">
                  <c:v>5</c:v>
                </c:pt>
                <c:pt idx="24">
                  <c:v>5</c:v>
                </c:pt>
                <c:pt idx="25">
                  <c:v>5</c:v>
                </c:pt>
              </c:numCache>
            </c:numRef>
          </c:val>
        </c:ser>
        <c:axId val="104737792"/>
        <c:axId val="106299392"/>
      </c:barChart>
      <c:catAx>
        <c:axId val="10473779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106299392"/>
        <c:crosses val="autoZero"/>
        <c:auto val="1"/>
        <c:lblAlgn val="ctr"/>
        <c:lblOffset val="100"/>
      </c:catAx>
      <c:valAx>
        <c:axId val="106299392"/>
        <c:scaling>
          <c:orientation val="minMax"/>
        </c:scaling>
        <c:axPos val="l"/>
        <c:majorGridlines/>
        <c:minorGridlines/>
        <c:numFmt formatCode="General" sourceLinked="1"/>
        <c:tickLblPos val="nextTo"/>
        <c:txPr>
          <a:bodyPr/>
          <a:lstStyle/>
          <a:p>
            <a:pPr>
              <a:defRPr sz="1400" b="1"/>
            </a:pPr>
            <a:endParaRPr lang="ru-RU"/>
          </a:p>
        </c:txPr>
        <c:crossAx val="104737792"/>
        <c:crosses val="autoZero"/>
        <c:crossBetween val="between"/>
      </c:valAx>
      <c:spPr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  <c:dispBlanksAs val="gap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User</cp:lastModifiedBy>
  <cp:revision>4</cp:revision>
  <dcterms:created xsi:type="dcterms:W3CDTF">2018-11-28T17:27:00Z</dcterms:created>
  <dcterms:modified xsi:type="dcterms:W3CDTF">2019-04-01T11:24:00Z</dcterms:modified>
</cp:coreProperties>
</file>